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32" w:rsidRDefault="00FC6D4E">
      <w:pPr>
        <w:spacing w:line="240" w:lineRule="auto"/>
        <w:ind w:right="90"/>
        <w:jc w:val="center"/>
      </w:pPr>
      <w:r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0" distB="0" distL="114300" distR="114300">
            <wp:extent cx="981075" cy="9134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6D32" w:rsidRDefault="00D96D32">
      <w:pPr>
        <w:spacing w:line="240" w:lineRule="auto"/>
        <w:ind w:right="90"/>
        <w:jc w:val="center"/>
      </w:pPr>
    </w:p>
    <w:p w:rsidR="00D96D32" w:rsidRDefault="00FC6D4E">
      <w:pPr>
        <w:spacing w:line="240" w:lineRule="auto"/>
        <w:ind w:right="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Anthem Press Style Guide  </w:t>
      </w:r>
    </w:p>
    <w:p w:rsidR="00D96D32" w:rsidRDefault="00D96D32">
      <w:pPr>
        <w:spacing w:line="240" w:lineRule="auto"/>
        <w:ind w:right="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6D32" w:rsidRDefault="00FC6D4E">
      <w:pPr>
        <w:spacing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guide outlines our preferred house style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 main priority is stylistic consistency. If you follow this style guide when writing your book, it will facilitate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editorial process, particularly if several authors are contributing to the same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you are strongly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different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style, feel free to discuss this with your editor at an early stage to avoid unnecessary editorial changes. We look forward to supporting you throughout the production process.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 information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 questions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style guide, please 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production@anthempress.com.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CONTENTS 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92" w:right="1765" w:hanging="5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92" w:right="1765" w:hanging="5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Manuscript Submission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92" w:right="1765" w:hanging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to Submit 2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Submit 3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and Submitting Documents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767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767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House Style 5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01" w:right="1767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Style and Usage 5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16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Notes and Referencing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16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an Index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459" w:lineRule="auto"/>
        <w:ind w:right="1645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Copyright and Permissions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20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MANUSCRIPT SUBMISSION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TO SUBMIT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need to submit all or most of the following documents.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your editor 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any specific queries.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38" w:right="-6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Page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This document does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formatted but should include the full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subtitle and the names of the author(s) or editor(s) as you would like them to appear.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36" w:right="-6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List all front matter (foreword, preface, acknowledgements, etc.) and all end matter (appendices, list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contributors, notes, references, index, etc.) that will be included in your </w:t>
      </w:r>
      <w:r>
        <w:rPr>
          <w:rFonts w:ascii="Times New Roman" w:eastAsia="Times New Roman" w:hAnsi="Times New Roman" w:cs="Times New Roman"/>
          <w:sz w:val="24"/>
          <w:szCs w:val="24"/>
        </w:rPr>
        <w:t>manuscript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Figures and Tables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If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</w:p>
    <w:p w:rsidR="00D96D32" w:rsidRDefault="00FC6D4E">
      <w:pPr>
        <w:widowControl w:val="0"/>
        <w:spacing w:before="282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If applicable.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: If applicable.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Chapters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If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0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 and Bibliography / References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Please supply full publication details of all works cited in your </w:t>
      </w:r>
      <w:r>
        <w:rPr>
          <w:rFonts w:ascii="Times New Roman" w:eastAsia="Times New Roman" w:hAnsi="Times New Roman" w:cs="Times New Roman"/>
          <w:sz w:val="24"/>
          <w:szCs w:val="24"/>
        </w:rPr>
        <w:t>manuscript.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 on Contributors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 edited volumes)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0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Figures and Tables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If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applicable.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Editable versions must be provided.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38" w:right="-6" w:hanging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Permissions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We require written confirmation of permission granted by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copyright  holder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(s) to reproduce ALL copyrighted material in your work. Please ensure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you  have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obtained all necessary permissions well in advance of submitting your  manuscript. Copyrigh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 material may include both textual and visual material.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For  further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guidance, please refer to the ‘Copyright and Permissions’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of this guide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standard permissions letter is available to download from the Anthem Press website here: </w:t>
      </w:r>
      <w:r>
        <w:rPr>
          <w:rFonts w:ascii="Times New Roman" w:eastAsia="Times New Roman" w:hAnsi="Times New Roman" w:cs="Times New Roman"/>
          <w:sz w:val="24"/>
          <w:szCs w:val="24"/>
        </w:rPr>
        <w:t>https://www.an</w:t>
      </w:r>
      <w:r>
        <w:rPr>
          <w:rFonts w:ascii="Times New Roman" w:eastAsia="Times New Roman" w:hAnsi="Times New Roman" w:cs="Times New Roman"/>
          <w:sz w:val="24"/>
          <w:szCs w:val="24"/>
        </w:rPr>
        <w:t>thempress.com/permissions-and-copyright/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36" w:right="-6" w:hanging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Copyright Consent Forms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For edited volumes, all contributors must complete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copyright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 form (available to download from the Anthem Press website, see  link above)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form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verifies the permission for use of the contributor’s work, and protects the copyright of </w:t>
      </w:r>
      <w:r>
        <w:rPr>
          <w:rFonts w:ascii="Times New Roman" w:eastAsia="Times New Roman" w:hAnsi="Times New Roman" w:cs="Times New Roman"/>
          <w:sz w:val="24"/>
          <w:szCs w:val="24"/>
        </w:rPr>
        <w:t>the manuscript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Lead editors must supply Anthem Press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copies of copyright consent forms from all contributors. 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HOW TO SUBMIT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your manuscript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Microsoft Word files (.doc)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your editor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files are named for easy recognition. </w:t>
      </w:r>
      <w:r>
        <w:rPr>
          <w:rFonts w:ascii="Times New Roman" w:eastAsia="Times New Roman" w:hAnsi="Times New Roman" w:cs="Times New Roman"/>
          <w:sz w:val="24"/>
          <w:szCs w:val="24"/>
        </w:rPr>
        <w:t>Please supply separate files for each chapter and for each front and end matter section (e.g., foreword, references, etc.).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note that we do not accept hard copy submissions of manuscripts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bound proofs or printed manuscripts.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editorial workflows are electronic and paperless. With our worldwide network of readers, reviewers and advisors, we need to be able to share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discuss projects quickly and easily.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number all pages (it is acceptable if pagination restarts on each file).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there are any mathematical formulae in your volume, it is particularly important that you also send us PDFs of the relevant pages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ntaining these formulae. Our typesetting team will need to refer to these to ensure correct typesetting and symbol placement.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manuscript contains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regular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characters (Greek/Cyrillic letters, letters with Slavic diacritical marks, etc.), 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ase provide us with any fonts needed to view and typeset the text correctly.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nsure that you include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cover note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your submission. This cover note should state your full name, contact information, the title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subtitle of your manuscript, the total 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 of files included in your submission, the correct order of files, the word count for each file, and the total word count of the manuscript.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firstLine="1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PREPARING AND SUBMITTING DOCUMENTS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preparing your work for submission, please do not attempt your own page layout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keep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formatting to a minimum. The typesetter will apply standard formatting to the layout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adhere to the following guidelines.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Formatting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Font – Times New Roman, 12pt.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 should be double-spaced.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only insert one bar-space between the end of each sentence and the start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e.g., &lt;…walked by the house. Then he…&gt; NOT &lt;…walked by the house.  Then he…&gt;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 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typesetters can easily standardize the justification when they typeset the manuscript.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indent the first lines of paragraphs. Indicate paragraph breaks by inserting a 1-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  space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1" w:right="-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 paragraph is to be set as an indented quotat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or a poem within the main text (a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‘block’  quotation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paragraph by 1cm.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Headings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format all headings as follows: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titles: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BOLD, ALLCAPS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Headings within chapters: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1 headings: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Bold, Headline-Style Capitalization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e.g.,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Return of Democracy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2 sub-headings: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Bold, italics, sentence-style capitalization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e.g.,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return of democracy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3 sub-subheadings: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italics, sentence-style capitalization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e.g.,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return of democracy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9" w:right="-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Figures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provide all figures separately as high resolution .jpeg or .tiff files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300dpi  minimum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ideally 600 dpi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photographs).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Graphs and charts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graphs and charts in Excel, please supply the original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spreadsheet  files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production process.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HOUSE STYLE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STYLE AND USAGE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1" w:right="-6" w:firstLin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section provides brief guidelines on style. For further guidance, refer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Chicago  Manual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Style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edition (Chicago: University of Chicago Press).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1" w:right="-6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also be helpful: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Copy-editing: The Cambridge Handbook for Editors, Authors and Publishers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Judith Butcher (Cambridge: Cambridge University Press) and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Oxford Dictionary for Writers and Editors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now available in paperback 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Oxford Writers’ Dictionary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(Oxford: Oxford University Press).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 and UK Style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Authors should stick to their 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style of English (in punctuation, spelling, etc.) – either US  (e.g., double quotation marks; all commas and full stops (periods) within quotation marks;  US spellings, e.g., &lt;judgment&gt;, &lt;jewelry&gt;, &lt;program&gt;, &lt;catalog&gt;) or UK style (single  quotation 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ks; full stops (periods) only within quotation marks if quoting a complete  sentence, otherwise all commas and full stops outside; UK spellings, e.g., &lt;judgement&gt;, 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jewellery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&lt;catalogue&gt;).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5" w:right="1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style: 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Smith argues, librarians often catalog items “according to their place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origin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usually without realizing the finer points of the indexing program.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 conclusion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thus: “The greatest challenge facing the discipline is one of greater  understandi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ng.”&gt;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5" w:right="20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 style: &lt;As Smith argues, librarians often catalogue items ‘according to their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origin’, usually without realizing the finer points of the indexing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 conclusion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thus: ‘The greatest challenge facing the discipline is one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greater  understanding.’&gt;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13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Remember, all other punctuation marks (colons, semicolons, exclamation points, etc.),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 part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quoted material, always fall outside of the quotation marks, in both US and UK  rules.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"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Translators should use either US or UK style depending on which style they are used to. Usage of US/UK spelling and punctuation must be consistent throughout the text, even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edited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volumes (though spellings in quoted material should be presented exactly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 appear in the source material, irrespective of the conventions of the manuscript).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17" w:right="-6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multi-authored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edited volumes, it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contributors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 different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styles of spelling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punctuation and reference systems as long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consistent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chapterwise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17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Avoid the use of &lt;he&gt; (when &lt;he or she&gt; is meant) wherever possible, either through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gender neutral &lt;they&gt; or by repeating the noun.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Quotation Marks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8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following UK rules, always use single quotation marks for dialogue and quoted material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text. Reserve the use of double quotation marks for quotes within quotes, e.g., &lt;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  states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‘Edward found the trappings of “royalty” hung heavily’.&gt;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 US author, follow US style and use double quotation marks for quoted material in  the text, with single quotation marks for quotes within quotes, e.g., &lt;Smith states that  “Edward found the trappings of ‘royalty’ hung heavily.”&gt;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 using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quotes wherever possible, either by just omitting them or by omitting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phrases like &lt;so-called&gt;, e.g., &lt;the people&gt;, not &lt;“the people”&gt;; &lt;the War on  Terror&gt; and &lt;the so-called War on Terror&gt;, not &lt;the “War or Terror”&gt;.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6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quotation marks (and apostrophes) should be curled “” rather than straight "",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curled in the right direction.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Spelling and Punctuation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8" w:right="-6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Spelling should be consistent. US spelling and punctuation should be used by US authors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Chicag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 Manual of Style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 useful reference book. UK authors should use British spelling with Oxford rules (words ending in &lt;–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e.g., &lt;realize&gt;, take a &lt;z&gt;, not an &lt;s&gt;), with spelling conforming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New Shorter Oxford English Dictionary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(Oxford: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Oxford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2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Commas: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commas sparingly. For lists, do not use the serial or ‘Oxford’ comma. Thus:  &lt;red, white and blue&gt;, not &lt;red, white, and blue.&gt;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6" w:right="-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Ellipses: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present ellipses using the ellipsis character (&lt;…&gt;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keyboard shortcut: CTRL+.), rather than as three consecutive full stops (&lt;...&gt;). When used to indicate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removed  text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quotations, ellipses should always be surrounded by square brackets, with a space  between the brackets and the preceding and subseque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words, e.g., &lt;Smith stated: ‘It was a  travesty […] that money should run so short.’&gt;.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" w:right="-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Brackets: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brackets should be used within round brackets where necessary.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Square  brackets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reserved for use in quoted material: for inserting ellipse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or authorial  insertions/adjustments, e.g., &lt;As Smith might say of today’s predicament: ‘It [is] a travesty  […] that money should run so short.’&gt;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Italics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21" w:right="-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italics for titles of books, plays, films, long poems, newspapers, journals (but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articles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journals) and ships. Please do not use underlining for these items. Use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inverted  commas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short poems, chapters within books, titles of articles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newspapers/journals, etc.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italics for emphasis if necessary, but use sparingly. Bold should never be used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emphasis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When italics are used for emphasis within quotations, please ensure that 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indicated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clearly whether the emphasis is from the original text or whether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an editorial  addition.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italics for foreign (i.e., non-English) words. Note, however the following exceptions: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foreign/Latin terms that are common in the English language, e.g., &lt;carte blanche&gt;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zeitgeist&gt;, &lt;ibid.&gt;, &lt;per se&gt;; foreign words 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many times throughout a single work after  the first usage; and foreign proper nouns, such as locations or organizations, e.g., &lt;the  Bundesliga&gt; vs.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 Spiegel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See the ‘Foreign Languages’ section (p. 12)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 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Capitalization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the use of capitals to a minimum.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1" w:right="-6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Proper nouns: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should be capitalized, but generic terms referring to a proper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presented in lowercase: &lt;Magdalene College was founded in 1428. The college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 some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illustrious alumni.&gt;; &lt;The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 gained five seats. The party members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 content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59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Titles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(civic, religious, military, academic):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Titles are capitalized when they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  precede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personal name, and are thus used as part of the name, e.g., &lt;Prime Minister David  Cameron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&gt;. Note that this is the case even when the plural form is used, e.g., &lt;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Presidents  Clinton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Obama&gt;. Titles should be lowercased when following a name or used in place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name, e.g., &lt;…the president was the first…&gt;, &lt;…Lincoln, the president of the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ited  States…&gt; vs. &lt;…President Lincoln was the first… &gt;. Note the following exceptions: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4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a title is placed before a name in apposition (i.e., as a descriptive tag) 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 not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capitalized, e.g., &lt;the current prime minister David Cameron&gt;, 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American  president Barack Obama&gt;, &lt;the then secretary of state Madeline Albright&gt;.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586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certain cases, historical conventions on capitalization should be allowed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override  this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rule, e.g., &lt;Lord Privy Seal&gt; and &lt;the Speaker&gt; have traditionally alway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been  capitalized.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2" w:right="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Titles of nobility should also be capitalized, e.g., &lt;the Duke and Duchess of Windsor&gt;, &lt;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 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Vere, the 13th Earl of Oxford&gt;. Generic terms should still be placed in lowercase, e.g.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duke&gt;, &lt;the earl&gt;.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2" w:right="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names of mountai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ns, rivers, oceans, islands, etc., follow similar rules to titles.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generic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 (‘river’, ‘mountain’) is only capitalized when used as part of the name, e.g., &lt;the Great Barrier Reef&gt;, &lt;Stone Mountain&gt;, vs. &lt;the reef can be seen from space&gt;, &lt;this 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21" w:right="-6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Places: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Recognized countries and regions should be capitalized. Places not officially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conventionally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recognized as proper nouns should be presented in lowercase, e.g., &lt;France&gt;,  &lt;Western Europe&gt; vs. &lt;western France&gt;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Recognized geopolitical entities should also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capitalized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e.g., &lt;the West&gt;, &lt;the Global South&gt;, &lt;the Third World&gt;.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Academic 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are generally placed in lowercase, with components derived from  proper nouns staying in upper case, e.g., &lt;m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athematics&gt;, &lt;chemistry&gt;, &lt;Russian studies&gt;,  &lt;French&gt;.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Artistic and cultural movements: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are generally placed in lowercase, unless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derived  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proper noun, e.g., &lt;impressionism&gt;, &lt;postmodernism&gt;, &lt;art deco&gt; vs. &lt;Platonism&gt;,  &lt;Keynesianism&gt;.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If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the name of the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 movement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includes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 a proper noun and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prefix,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prefix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be capitalized, e.g., &lt;Pre-Raphaelite&gt;, &lt;Post-Marxism&gt;, &lt;Neoplatonism&gt;.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Sometimes caps will also be needed to avoid ambiguity (e.g., with terms such as &lt;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 Criticism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&lt;Romantic&gt;).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items that should be capitalized include: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90" w:right="-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 of ethnic and national groups, e.g., &lt;Jews&gt; &lt;a Jew&gt;, &lt;Jewish identity&gt;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African Americans&gt;, &lt;African American culture&gt;.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5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Terms of respect, e.g., 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Right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David Cameron&gt;, &lt;the Reverend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John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Hardcastle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Well-known epithets or nicknames, e.g., &lt;Ivan the Terrible&gt;, &lt;Babe Ruth&gt;.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8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names for historical periods, e.g., &lt;the Age of Reason&gt;, &lt;the Dark Ages&gt;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Enlightenment&gt;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Historical events, e.g., &lt;the Industrial Revolution&gt;, &lt;the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 Depression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&lt;the New Deal&gt;, &lt;the Great Fire of London&gt;.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90" w:right="-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Days of the week, months, holidays and festival days, e.g., &lt;Tuesday&gt;, &lt;March&gt;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Halloween&gt;, &lt;Boxing Day&gt;.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6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Religious orders/movements: &lt;Sufism&gt;, &lt;Wicca&gt;, &lt;the Catholic Church&gt;, &lt;the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United  Methodist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Church&gt; (but &lt;the church&gt; when not used as part of a name of a formal  denomination or congregation).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6" w:right="-6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Officially recognized names of armies, battles, wars, etc.,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e.g., &lt;the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Allied  Expeditionary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Force&gt;, &lt;the United States Navy&gt;, &lt;the Royal Navy&gt;, &lt;the Gulf War&gt;,  &lt;the Norman Conquest&gt;. Generic or unofficial terms should not take caps: &lt;the force&gt;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British navy&gt;, &lt;the war&gt;, &lt;the conquest&gt;.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4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Brand names: &lt;Coc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a-Cola&gt;, &lt;Apple&gt;, &lt;Ford&gt;, &lt;Google&gt; (® and ™ signs 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 necessary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If appropriate, brand names that have been adopted as common nouns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lowercase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e.g., &lt;a hoover&gt;, &lt;a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kleenex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Hyphens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8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general, please aim to follow the hyphenation rules suggested by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Chicago Manual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of  Style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as the points below.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hanging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Adjectival phrases: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Hyphenate adjectival phrases only when they appear before the noun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 they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modifying, e.g., 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a short-lived phenomenon&gt; vs. &lt;the phenomenon was short  lived&gt;. Note the following exceptions: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4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hyphenate adjectival compounds formed from proper nouns: &lt;the United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  basketball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went to an Elton John concert&gt;, not &lt; the United-Sta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 basketball team  went to an Elton-John concert 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9" w:right="-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Hyphenation should never be used in adjectival phrases where the first word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 adverb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ending in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e.g., &lt;a successfully completed mission&gt;, not &lt;a successfully completed mission&gt;.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Use hyphens between all words if an open compound is used adjectivally, e.g., &lt;science fiction-like style of writing&gt;, with two exceptions. When using an ordinal number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century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adjectival compound, multiple hyphens should be avoided, e.g., &lt;la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 eighteenth-century artefacts&gt;, not &lt;late-eighteenth-century artefacts&gt;; &lt;twenty-first century  children&gt;, not &lt;twenty-first-century children&gt;. Note that the prefix ‘mid-’ always takes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hyphen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&lt;mid-twentieth-century music&gt;. In addition, if the open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ompound is a proper noun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 must be used, e.g., &lt;Olivier Award–winning play&gt;. See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Dashes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Dashes’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(p. 10) for more information.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17" w:right="-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Prefixes: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Hyphens are not necessary when adding a prefix to a word – the two should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together as a solid compound, e.g., &lt;postmodernism&gt; (not &lt;post-modernism&gt;,  &lt;socioeconomic&gt; (not &lt;socio-economic&gt;), etc. Note, however, the following exceptions: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Hyphens should always be used when prefixing a proper noun (&lt;anti-British&gt;)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numer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figure (&lt;pre-9/11&gt;, &lt;post-1990s&gt;).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90" w:right="6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Hyphens can also be retained to avoid creating words that are difficult to read, e.g., &lt;anti-industrial&gt; rather than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antiindustrial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7" w:right="-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adding additional prefixes to an already-prefixed solid compound, a hyphen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needed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e.g., &lt;anti-postmodernist&gt;, &lt;sub-subentry&gt;, etc.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1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 should be taken when the insertion/omission of a hyphen affects the meaning of a word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e.g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&lt;recreation&gt; vs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&lt;re-creation&gt;, &lt;procreation&gt; vs. &lt;pro-creation&gt;.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Compound gerunds: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use hyphens in compound gerunds (e.g., &lt;decision making&gt;,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decision-making&gt;) or noun-agent compounds (e.g., &lt;truck driver&gt;, not &lt;truck-driver&gt;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However, please do use hyphens for clarity if necessary (e.g., &lt;old machine-operator&gt; vs.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  old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machine operator &gt;)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in general that, if the second part of a hyphenated or solid compound is omitted,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 part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carries a hyphen and is followe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by a space. E.g., &lt;eighteenth- and nineteenth-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century  music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&lt;over- and underpaid&gt;.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Dashes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Dashes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8" w:right="-6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dashes: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dash/rule (–) is longer than a hyphen (-). It can be inserted into text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 typing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ALT+0150. It serves several purposes: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90" w:right="-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 should be used when adding a prefix or suffix to an open compound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formed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proper noun, e.g., &lt;the post–World War II era&gt;, &lt;a Nobel Prize–winning novel&gt;.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rules should be used instead of hyphens in number spans, e.g., &lt;24–28&gt;.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90" w:right="-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sho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uld be used to link two items of equal weight (i.e., that don’t modify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 another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an adjectival compound, e.g., &lt;Nazi–Soviet Pact&gt;, &lt;Military–Industrial  Complex&gt;, &lt;mother–daughter relationship&gt;.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Spaced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rules are used as parenthetical dashes or pauses in UK English.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9" w:right="6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dashes: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dash/rule (—) should only be used as a parenthetical dash without spaces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US English, or to indicate a deliberately obscured word.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Abbreviations, Acronyms, Contr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actions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17" w:right="-6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Spell out all abbreviations when first mentioned, followed by the abbreviation in brackets.  The abbreviation can then be used every subsequent time the term occurs: e.g., first time &lt;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United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Nations Development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(UNDP)&gt;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subsequently &lt;the UNDP&gt;.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 known abbreviations can be used without spelling out (e.g., &lt;UK&gt;, &lt;USA&gt;, &lt;AIDS&gt;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HIV&gt;, &lt;NATO&gt;).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UK English, full stops should appear after abbreviations only when the last letter of the  word is omitted; contractions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(i.e., abbreviations where the middle letters of the word are  removed) should not take a full stop, e.g.,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&lt;St&gt;, &lt;Mt&gt;, vs. &lt;Prof.&gt;, &lt;Rev.&gt; &lt;Hon.&gt; &lt;Pvt.&gt;, etc. Note especially: &lt;ed.&gt; /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&lt;vol.&gt; /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 &lt;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&gt;. Note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the exceptions: &lt;no.&gt; / &lt;nos.&gt; and &lt;vs.&gt; In US English, periods should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used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 last letter is lowercase, e.g., &lt;Dr.&gt;, &lt;Drs.&gt;, &lt;Mr.&gt;, &lt;Prof.&gt;, &lt;ed.&gt;, &lt;eds.&gt;,  &lt;vols.&gt;, etc. Don’t duplicate the full stop if the abbreviation ends a sentence.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initials are given for people’s names, e.g., &lt;T. S. Eliot&gt;, stops should be used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there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a space between initials.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1" w:right="-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contracting a word/phrase by removing its opening letters, an apostrophe is needed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e.g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&lt;’twill&gt;, &lt;’twas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etc. The apostrophe should always curl to the left, i.e.,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not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When working with quotation marks, take care to ensure that all items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 curled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right direction, e.g., &lt;‘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muddle,’ he said.&gt;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Numerals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2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spell out single-digit numbers, and use figures thereafter, bearing in mind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following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17" w:lineRule="auto"/>
        <w:ind w:left="586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above also applies to ordinal numbers, e.g., &lt;It was his third birthday&gt; vs. &lt;It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173rd victory for the party&gt;. Do not use superscrip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letters when presenting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ordinal  numbers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figures, i.e., &lt;173rd&gt; is correct, not &lt;173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29" w:lineRule="auto"/>
        <w:ind w:left="588" w:right="-6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Spell out numbers opening a sentence. If a sentence begins with a year, spell it out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consider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rephrasing, e.g., &lt;Nineteen ninety-nine was marked…&gt; or &lt;The 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1999  was marked…&gt;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66"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Spell out simple fractions (always with a hyphen), e.g., &lt;two-thirds&gt;, &lt;three-quarters&gt;.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86" w:right="-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Spell out figures used approximately, e.g., &lt;over two hundred people&gt;, &lt;at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  twenty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-five cats&gt;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unless they are measurements with abbreviated units or percentages  (see below).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5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numerals for measurements with abbreviated units, e.g., &lt;2 m&gt;, &lt;4 kg&gt;, &lt;52 kg&gt;.  Always leave a space between figures and units. Follow the general rule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numbers 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non-abbreviated units, e.g., &lt;two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&lt;12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&gt;, &lt;four kilograms&gt;,  &lt;52 kilograms&gt;, &lt;three years&gt;, &lt;22 years&gt;, &lt;over fifty-two years&gt;.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6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Use numerals for percentages in the text but spell out &lt;per cent&gt;, e.g., &lt;24 per cent&gt;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percentage sign (%) should only be used in tables. Approximate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percentages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presented using numerals, e.g., &lt;around 5 per cent&gt;. Note that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 spelling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&lt;percent&gt;.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5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figures to avoid a mixture of words and figures, e.g., &lt;cycles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14, 13, 11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 days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If mixing different numerical measurements, spell out those of one category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use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figures for those of the other, e.g., &lt;There were twenty-seven 5-year-olds, and  forty-eight children over the age of 10&gt;.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7" w:right="-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general, insert commas in large numbers, e.g., &lt;1,000&gt;, &lt;35,678&gt; or &lt;12,300,000&gt;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etc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Note that they should not be inserted into number ranges which use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 ‘Number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spans’ subsection below).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sure you use the numeral keys on your keyboard for ‘1’ (one) and ‘0’ (zero), and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lowercase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‘l’ or an upper case ‘O’.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Number spans: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Inclusive number ranges must be presented using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dash, e.g., &lt;234–48&gt;.  In general, the second part of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umber range should display only the digits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 changed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e.g., &lt;114–203&gt;, &lt;3225–325&gt;, &lt;6480–7567&gt;, but it should not be contracted to  fewer than two digits, e.g., &lt;47–48&gt;, &lt;109–15&gt;, &lt;360–63&gt;, &lt;3231–41&gt;. Note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 exceptions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84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the fir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part of a number range is a multiple of 100, all digits should be used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both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parts, e.g., &lt;100–121&gt;, &lt;700–783&gt;, &lt;2300–2346&gt;.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4" w:right="-6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Where the first number in the span ends in &lt;01&gt; through to &lt;09&gt; (e.g., &lt;101&gt; </w:t>
      </w: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to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&lt;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109&gt;, &lt;201&gt; to &lt;209&gt;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, etc.), the second number in the span should show the changed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part only, e.g., &lt;101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8&gt;, &lt;1103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4&gt;, &lt;808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33&gt;.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Time and Dates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22" w:right="-6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Dates: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dates out as follows (in general, day/month/year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&lt;8 July 1995&gt;, &lt;on 8 July&gt;,  &lt;on the 8th&gt;’; &lt;1990s&gt;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(without apostrophe); &lt;1995–97&gt;, &lt;1914–18&gt;. Abbreviated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preceded by an apostrophe, e.g., &lt;the class of ’99&gt;, &lt;she was famous in the ’80s&gt;.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4" w:right="-6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spans follow exactly the same rules as number spans (see ‘Number spans’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subsection  above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e.g., &lt;1995–97&gt;, &lt;2000–2004&gt;. Note that date ranges spanning the life of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never be contracted, e.g., &lt;David Hume (1711–1776)&gt;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4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Spell out ordina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numbers with centuries, e.g., &lt;second century&gt;, &lt;eighteenth century&gt;.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hyphen when centuries are used attributively, e.g., &lt;eighteenth-century artefacts&gt;.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 ‘Hyphens’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(p. 9) for more information.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Spell out months and days in full.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&lt;in&gt; before dates: &lt;He was awarded a Nobel Prize in 1993.&gt;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27" w:right="-6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round brackets around dates after works of art, publications, etc., e.g.,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Prelude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1805)&gt;.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2" w:right="-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Era designations should be used consistently (e.g., either BCE/CE or BC/AD, not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both), and should be presented in capitals without full stops: &lt;2000 BC&gt;.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Spell out hours of the day when discussing half or quarter hours, or when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 &lt;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o’clock&gt;, e.g., &lt;quarter past five&gt;, &lt;half past three&gt;, &lt;five o’clock&gt;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When stating exact  times use numerals, dividing the hours from the minutes with a colon, and using either  &lt;a.m.&gt; or &lt;p.m.&gt; to indicate the time of day, e.g., &lt;The flight left at 5:22 a.m.&gt;.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Foreign Languages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8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words and phrases inserted in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text should be italicized if they are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commonly  used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English-speakers. Note that if a foreign term is repeated throughout the manuscript,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italicized in the first instance, and then appear in Roman type thereafter.  Capitalized proper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names of foreign organizations, institutions, political parties, trade unions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etc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should be kept in Roman type, not in italics. See ‘Italics’ section (p. 7)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 information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8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Quotations in foreign languages should not be placed in italics. Translations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 foreign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quotations in the main body of the text should be placed in round brackets.  Translations following block quotations should appear as a separate block below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square brackets. Thus, &lt;As De Vere argues, ‘Il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qu’il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(He said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 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ill).&gt; If set as a block quotation, this should appear like so: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qu’il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[He said that he was ill]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29" w:lineRule="auto"/>
        <w:ind w:left="17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Translations of foreign book/film titles can, if desired, follow the original in round brackets.  If a translated version of the book/film has actually been published or released under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English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translated title provided, then it should be set in italic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If not (i.e., the translated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 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merely conventional, or perhaps has been translated by the author themselves), then it is  placed in Roman type, in headline-style caps. Note that foreign-language titles must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placed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sentence-style capitals,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the capitalization style of the original language,  e.g.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Roman de la rose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Philosophie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im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tragischen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Zeitalter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Griechen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 refer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Chicago Manual of Style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further details on specific languages.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words or symbols not found in the English alphabet, please ensure that you also supply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 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necessary font in order to view and typeset these words correctly.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6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6"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NOTES AND REFERENCING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29" w:lineRule="auto"/>
        <w:ind w:left="17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the note referencing system (endnotes keyed to superscript numbers in the text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 Word’s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referencing function) or the author-date (Harvard) system (name, date and page number of a source placed parenthetically in the text) may be used so long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system is  used consistently throughout the manuscript. The author-date system is not recommended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 archival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citations are used frequently. Editors of collections should inform their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contributors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method to be used so that the same form of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ferencing is used in all chapters.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Note Referencing System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6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guidance on what information to include in endnotes (and how to present them),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refer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Chicago Manual of Style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well as the guidance  below.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586" w:right="177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Note formatting: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take note of the following requirements: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566" w:right="1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embedded using Word’s ‘Insert References’ function.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584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all notes are formatted as endnotes, to appear at the end of each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 Word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file. Depending on the type of your manuscript, our typesetting team may consolidate all endnotes into a separate notes section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appear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end matter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numbering should restart with each new chapter. Notes should be presented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 Arabic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rather than Roman numerals.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92" w:right="-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markers should always be placed outside punctuation rather than within it (e.g., after a closing quotation mark, parenthesis, comma or full stop), and should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placed  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end of either a clause or, preferably, a sentence.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Examples of note refer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ences: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26" w:lineRule="auto"/>
        <w:ind w:left="594" w:right="-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Harrison Matthews,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Sea Elephant: The Life and Death of the Elephant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Seal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London: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MacGibbon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1952), 140–63.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Ibid.,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143, 150.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585" w:right="-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Gillsater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Life and the Sea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(London: Allen &amp; Unwin, 1964), 2: 120–22.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Complete Tales of Henry 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ed. Leon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 5,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1883–1884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(London:  Rupert Hart-Davis, 1963), 32–33.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581" w:right="-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Harold Taggart, ‘Sealing on St George Island and Its Ecological Implications’,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Pacific  Historical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Review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28, no. 3 (1959): 352–58 (353).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Gillsater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Life and the 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2: 128.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Aristotle,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Metaphysics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3.2.996b5–8.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610" w:right="-6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Augustine,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City of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trans. J. Healey and R. V. G. Tasker (London: J. M. Dent,  1967), 202.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581" w:right="-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Smith, diary, 1937, Doc 435.AaT, Royal Naval Collection, British Library.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 H. Keating, ‘Fort Dearborn and Chicago’,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Prairie State: Impressions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 Illinois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1673–1967, by Travelers and Other Observers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ed. Paul M. Angle (Chicago:  Univers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of Chicago Press, 1968), 271–79 (275).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9" w:lineRule="auto"/>
        <w:ind w:left="18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long notes, full publication details for all items referenced must be included – for books: location, publisher, date (see note 1); for journals: journal name, volume, issue, date,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 number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range, specific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page(s) referred to (see note 5); for chapters in books: all the  information of the book, plus the chapter author, chapter title, chapter page number range and  specific page(s) referred to (see note 10). References to archival material should aim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following: the title and date of item (and author, if applicable); item or series  identification number; name of collection; name of depository (see note 8). However,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  this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prove difficult, so it is best just to try and provide as much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as possible.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6" w:right="-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Shortening notes: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Notes can be shortened in several ways. The use of &lt;op. cit.&gt; and &lt;loc.  cit.&gt; is strictly forbidden, but the term &lt;ibid.&gt;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(meaning in the same place) may be used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note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replicates the information in the note preceding it. &lt;Ibid.&gt; should not be italicized,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be followed by a full stop (see note 2).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referring subsequently to a work that has alread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been cited in a chapter, it is  preferable to state only the author’s surname, the title of the book or article (or a shortened  form of it), and the volume/page number (see note 6). However, this practice should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carried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from chapter to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apter: the first time a work is cited in a chapter it should be  referenced in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complete bibliography is to be included, shortened notes (see note 6) may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  universally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 accompanying bibliography is desirable but not strictly necessary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 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note referencing system, but can only be left out if the notes are fully  comprehensive and provide full publication details for all items referenced. Note that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bibliography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to be included, articles in journals, chapters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books, etc., will require  their full page ranges citing, with the specific pages referenced in each instance included afterwards in parentheses (see notes 5 and 10). See ‘Bibliographies / Reference Lists’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 below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 on bibli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ographies.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Author-Date Referencing System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Authors working in the area of the social sciences may wish to use the author-date system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notes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references. 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Chicago Manual of Style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well as the guidance below.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Examples of in-text author-date references: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(Pratt 1975, 121–25)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(Barnes 1981, 3: 125)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(Garcia 1982, vol. 2)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(Smith and Hall 1998a)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(King et al. 2012, 10)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(Davidoff 2001; Johnson 1996, 1997)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…as Eleanor Wise (1982, 312) demonstrates…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" w:right="-6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Cite the author’s surname, the year of publication and the page reference immediately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quoted material. Note in particular that round brackets should be used, there should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 punctuation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surname and year, and a comma should separa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the year and page  numbers.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18" w:right="127"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Volumes: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a volume number is needed, use a colon to distinguish the volume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page numbers, e.g.,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Barnes 1981, 3: 125)&gt;. If only the volume is given without a page number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use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&lt;vol.&gt;, e.g., &lt;(Garcia 1982, vol. 2)&gt;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126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Multiple authors: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work has two authors, then both surnames should be referenced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text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e.g., (Smith and Hall 1998a). For texts with more than two authors, the lead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 name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used and followed by &lt;et al.&gt;, e.g., &lt;(King et al.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012, 10)&gt;.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1" w:right="-6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Multiple works: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two or more separate works are referred to in one note, the details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each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separated by semicolons if by different authors, and commas if by the same  author, e.g., &lt;(Davidoff 2001; Johnson 1996, 1997)&gt;.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using the author-date system, a full list of references will need to be included at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volume (or at the end of each chapter in edited volume: edited volumes should not have a compiled list of references). Author names in the reference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should be identical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those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in the text.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Bibliographies / Reference Lists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 lists and bibliographies should follow the format shown in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Chicago Manual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lease refer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guidelines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bibliography/reference list should be divided into as few sections as possible. 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preferable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only divisions be between archival and printed sources, or, in some cases,  primary and secondary sources.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9" w:lineRule="auto"/>
        <w:ind w:left="19" w:right="-6" w:hanging="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N. B. There is a difference in layout between entries in bibliographies in note-referenced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texts  and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reference lists in author-date texts. There are also important differences between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 layout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long notes and entries in the bibliography.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Note refere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ncing bibliographies: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581" w:right="-6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Keating, William H. ‘Fort Dearborn and Chicago’.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Prairie State: Impressions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 Illinois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1673–1967, by Travelers and Other Observers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edited by Paul M. Angle, 271– 79. Chicago: University of Chicago Press, 1968.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6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Matthews, L. Harrison.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Sea Elephant: The Life and Death of the Elephant Seal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MacGibbon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1952.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1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———. ‘Elephant Seal Breeding Grounds: An Investigative Study’.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of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Marine  Biology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 no. 2 (1960): 109–69.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3" w:right="-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Making Waves: The Futur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 of the Elephant Seal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London: Viking, 1960. Taggart, Harold F. ‘Sealing on St George Island and Its Ecological Implications’.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Pacific Historical Review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28, no. 3 (1959): 351–60.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Author-date reference lists: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author-date system is used, the date of publication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placed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after the author’s name, rather than at the end of the listing.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9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Keating, William H. 1968. ‘Fort Dearborn and Chicago’.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Prairie State: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Impressions  of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Illinois, 1673–1967,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by Travelers and Other Observers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edited by Paul M. Angle,  271–79. Chicago: University of Chicago Press.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6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Matthews, L. Harrison. 1952.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Sea Elephant: The Life and Death of the Elephant Seal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MacGibbon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79" w:right="-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———. 1960a. ‘Elephant Seal Breeding Grounds: An Investigative Study’.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Marine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Biology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 no. 2: 109–69.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3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———. 1960b.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Making Waves: The Future of the Elephant Seal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London: Viking.  Taggart, Harold F. 1959. ‘Sealing on St George Island and Its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cological Implications’.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Pacific Historical Review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28, no. 3: 351–60.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that when using the author-date system, multiple entries by the same author from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same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should be labelled using letters after the year, as above. Parenthetical citations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text should reflect this convention, e.g., &lt;(Matthews 1960b, 351)&gt;.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General comments: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sure to include the name of the publisher – giving only the place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publication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provides much less information for the reader. Note that the location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publication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 town or city rather than county, state or country, i.e., &lt;Cambridge,  MA&gt;,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just &lt;MA&gt;; &lt;Basingstoke&gt;, not &lt;Hampshire&gt;.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Divide titles from their subtitles using colons, not full stops or commas.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both bibliographies and reference lists, when there are multiple texts written by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  author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order them chronologically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blank out subsequent repetitions of the author’s name  with three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dashes. 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Electronic References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9" w:right="-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in the notes or a bibliography, these should include some additional details,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 outlined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here. A book, part of a book, a journal, or a journal article which has been published  and is also available on the internet should contain the electronic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 (URL) and, if there  is no date of publication, the date on which you accessed the webpage.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material taken directly from websites (rather than from web-accessed publications), such  as government databases, personal or organization websites, etc., it is necessary to provide as  much information as possible about the author, editor, date of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revision and publishing  organization of the material.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Note reference examples: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26" w:lineRule="auto"/>
        <w:ind w:left="585" w:right="66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Smith,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Publishing on the Internet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(London: Routledge, 1997), http://www.ingress.com/~astanart.pritzker/pritzker.html.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585" w:right="-6" w:firstLine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‘McDonald’s Happy Meal Toy Safety Facts’, McDonald’s Corporation, accessed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2008, http://www.mcdonalds.com/corp/about/factsheets.html.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87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Kempster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‘Hunt for Vandals Who Targeted Otford Medical Facilities’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Sevenoaks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Chronicle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24 April 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http://www.sevenoakschronicle.co.uk/Hunt vandals-damaged-defibrillator/story-21005741-detail/story.html.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585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BBC News, ‘Bank Shares Jump on New Business Support Plans’, 15 June 2012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http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://www.bbc.co.uk/news/business-18448636.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Note referencing bibliography examples: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585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BBC News. ‘Bank Shares Jump on New Business Support Plans’. 15 June 2012.  http://www.bbc.co.uk/news/business-18448636.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7" w:right="-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Kempster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Doug. ‘Hunt for Vandals Who Targeted Otford Medical Facilities’.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Sevenoaks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Chronicle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24 April 2014. http://www.sevenoakschronicle.co.uk/Hunt vandals-damaged-defibrillator/story-21005741-detail/story.html.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5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McDonald’s Corporation. ‘McDonald’s Happy Meal Toy Safety Facts’. Accessed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2008. http://www.mcdonalds.com/corp/about/factsheets.html.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5" w:right="-6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Publishing on the Internet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London: Routledge, 1997.  http://www.ingress.com/~astanart.pritzker/pritzker.html.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Author-date reference list examples: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585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BBC News. 2012. ‘Bank Shares Jump on New Business Support Plans’. 15 June.  http://www.bbc.co.uk/news/business-18448636.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7" w:right="-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Kempster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Doug. 2014. ‘Hunt for Vandals Who Targeted Otford Medical Facilities’.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Sevenoaks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Chronicle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24 April. http://www.sevenoaksc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hronicle.co.uk/Hunt-vandals damaged-defibrillator/story-21005741-detail/story.html.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85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McDonald’s Corporation. 2008. ‘McDonald’s Happy Meal Toy Safety Facts’.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Accessed 19 July. http://www.mcdonalds.com/corp/about/factsheets.html.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Smith, A. 1997.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Publishing 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 the Internet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London: Routledge.  http://www.ingress.com/~astanart.pritzker/pritzker.html. 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PREPARING AN INDEX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29" w:lineRule="auto"/>
        <w:ind w:left="17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production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 sets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schedule for your book, you will be asked to confirm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arrangements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with your editor for indexing: to either prepare your own index or for  Anthem Press to compile the index for you. If the index is prepared by </w:t>
      </w:r>
      <w:r>
        <w:rPr>
          <w:rFonts w:ascii="Times New Roman" w:eastAsia="Times New Roman" w:hAnsi="Times New Roman" w:cs="Times New Roman"/>
          <w:sz w:val="24"/>
          <w:szCs w:val="24"/>
        </w:rPr>
        <w:t>Anthem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will be sent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for approval before the book is sent to print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epare your own index, you will be given some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guidelines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and a return date for the index copy.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on how to compile an index, consult the pamphlet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Book Indexing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(Cambridge: Cambridge University Press) by M. D. Anderson, or contact your editor for guidelines. The following guidelines should be followed in preparing your index.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Alphabetization: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entries must be in strict alpha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betical order, word by word, for 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mple: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altarcloths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32–36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lighting 41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Churchill 311, 314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Entries for names beginning with Saint or Mac should be spelled or put as they appear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manuscript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placed in alphabetical order as normal. Accents should be ignored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 alphabetizing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Évreux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89, 28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public 109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MacDonald, Trevor 90, 92, 103, 205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Matthews, Stanley 5, 32–36, 71, 73–84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McDonalds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microeconomics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1" w:right="-6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Formatting: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new entry should begin on a new line. Leave an extra line space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 entries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different letters of the alphabet.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Capital letters should only be used for words capitalized in the manuscript (i.e.,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proper  nouns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Other formatting present in the manuscript (e.g., inverted commas, italicization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replicated in the index.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1" w:right="-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Entries themselves should be nouns or noun phrases; adjectives alone should never be used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 entries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Noun phrases should be inverted when necessary so that their key term comes first: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policy, Thatcher’s approach towards 54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names of 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s/poems etc., please place the name of the author/poet after the title,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parentheses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Articles (‘The’, ‘A’, etc.) should be placed after the main title of the item.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multiple items with the same names, a short explanatory note in parentheses may 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necessary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 example: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History of Tom Jones, a Foundling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(Fielding) 21, 23, 84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Italian Job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(1969) 112–18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Italian Job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(2003) 112, 119–20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Tom (character) 21, 23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Tom (singer) 2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Tom Jones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(Fielding):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see History of Tom Jones, a Foundling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(Fielding)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6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Subentries: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should be included in entries that feature more than six page numbers.  They can either be presented in run-in format, or list format. Only one subentry style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across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index. The run-in format is best used when indexing arts/humanities/literary texts; the list format is better suited to scientific texts. Sub-subentries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absolutely necessary, should follow a subentry in brackets in the run-in style, or should be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urther indented in the list style.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-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Run-in subentries: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should follow the main entry directly (after a colon), and should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separated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semicolons. Subentries in this format often form a grammatical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 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main entry, whereby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entry and subentry combine into a single phrase.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Subentries  should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presented in alphabetized according to their key term: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12" w:right="-6" w:hanging="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France: and relations with Belgium 2–3, 87; in modern world politics 90, as a nation state 89–90; and relations with Spain 4, 16, 22; as a utopian society 23, 65 (in  modern literature) 66;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17" w:right="-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Listed subentries: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should be placed below the main entry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indented.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 format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subentries should comprise of subcategories, and should not form a grammatical  relationship with the main entry. They should be listed alphabetically: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trends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African 34–40, 67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European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British 12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German 12–16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 German 14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 German 15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 American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Argentinean 50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Brazilian 46–48, 50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" w:right="-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Cross-references: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should be included if likely to be of help to the reader. If an entry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purely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cross reference, it should be followed by a colon, the word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(in italics), and the  name of the referenced entry as it appears in the index. For example: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Tolkien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R. R.: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see Lord of the Rings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(Tolkien)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an entry has page locators but is also to feature a cross-reference, the reference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 follow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final locator, after a semicolon and the words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see 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italics).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Multiple  cross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-references can be added if necessary, and should be separated using semicolons: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90" w:right="-6" w:hanging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gastronomy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British 12–13, 16, 67, 102; and television 34–36;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see also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alimentary science;  gourmet cuisine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Cross-references relating specifical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 to subentries should be placed directly after them,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parentheses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7" w:right="6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economic policy of 103–12; and leader democracy 3, 5, 60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see also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Blair, Tony); and trade unions 120–24, 134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8" w:right="-6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Pagination: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Inclusive number ranges must be presented using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dash, e.g., &lt;234–48&gt;.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general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second part of a number range should display only the digits that have changed,  e.g., &lt;114–203&gt;, &lt;3225–325&gt;, &lt;6480–7567&gt;, but it should not be contracted to fewer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 two digits, e.g., &lt;47–48&gt;, &lt;109–15&gt;, &lt;360–63&gt;, &lt;3231–39&gt;. Note the following exceptions: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4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the first part of a number range is a multiple of 100, all digits should be used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both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parts, e.g., &lt;100–121&gt;, &lt;700–783&gt;, &lt;2300–2346&gt;.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584" w:right="-6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Where the fir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st number in the span ends in &lt;01&gt; through to &lt;09&gt; (e.g., &lt;101&gt; </w:t>
      </w: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to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&lt;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109&gt;, &lt;201&gt; to &lt;209&gt;, etc.), the second number in the span should show the changed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part only, e.g., &lt;101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8&gt;, &lt;1103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4&gt;, &lt;808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33&gt;.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2" w:right="-6"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Lists of consecutive numbers should always be condensed into ranges, i.e., &lt;8, 9, 12, 13,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15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18, 19, 20&gt; should be presented as &lt;8–9, 12–15, 18–20&gt;.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index notes or prelims, except where there </w:t>
      </w:r>
      <w:r>
        <w:rPr>
          <w:rFonts w:ascii="Times New Roman" w:eastAsia="Times New Roman" w:hAnsi="Times New Roman" w:cs="Times New Roman"/>
          <w:sz w:val="24"/>
          <w:szCs w:val="24"/>
        </w:rPr>
        <w:t>is a lengthy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argument which is really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 extensio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text. If you do index a note, add ‘n’ plus the note number after its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 reference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e.g., 48n2.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indexing text within tables or figures, put the number span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bold. Do not insert a comma between the entry and the first page number. </w:t>
      </w: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</w:p>
    <w:p w:rsidR="00D96D32" w:rsidRDefault="00D96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br w:type="page"/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COPYRIGHT AND PERMISSIONS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29" w:lineRule="auto"/>
        <w:ind w:left="19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plan to use verbatim text, illustrations, charts or tables from any previously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published  source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editorial material, you must obtain permission from the copyright holder by the  date of submission of your manuscript. If you are quoting or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nscribing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 material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obtain permission from the author’s estate.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-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accurate records of all material used or investigated. You must supply full details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sources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all copyright material used, both textual and pictorial. 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details should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supplied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manuscript as a separate list, and should clearly indicate the source of each  relevant item.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source information should include: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name(s) and initials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in which the material appears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Edition and publication year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Publisher and location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number(s) on which material appears in original publication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" w:right="-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published works are in copyright for 70 years after the death of the author,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  years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publication if the copyri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ght holder is the publisher. You will need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  permission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reproduce any text which exceeds the following: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single extract longer than 400 words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series of extracts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than 800 words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series of extracts of which any one extract is more than 300 words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" w:right="-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Do, however, bear in mind that if the original source is short (e.g., a poem) you may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  permission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reproduce even brief extracts. When in doubt, always check with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copyrigh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 holder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well in advance of finalizing and submitting your manuscript.  </w:t>
      </w:r>
    </w:p>
    <w:p w:rsidR="00D96D32" w:rsidRDefault="00FC6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" w:right="-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received permission to reproduce material, please provide a separate list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items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which permissions acknowledgements will be necessary. Please contact us well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advance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submission if you have any queries or uncertainties with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to copyright.</w:t>
      </w:r>
    </w:p>
    <w:sectPr w:rsidR="00D96D32">
      <w:pgSz w:w="11900" w:h="16820"/>
      <w:pgMar w:top="1420" w:right="1379" w:bottom="1339" w:left="14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32"/>
    <w:rsid w:val="00D96D32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5F19D-AF0D-4F56-B02C-9B3075E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7018</Words>
  <Characters>40004</Characters>
  <Application>Microsoft Office Word</Application>
  <DocSecurity>0</DocSecurity>
  <Lines>333</Lines>
  <Paragraphs>93</Paragraphs>
  <ScaleCrop>false</ScaleCrop>
  <Company/>
  <LinksUpToDate>false</LinksUpToDate>
  <CharactersWithSpaces>46929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Jaimeena</cp:lastModifiedBy>
  <cp:revision>2</cp:revision>
  <dcterms:created xsi:type="dcterms:W3CDTF">2020-11-25T08:32:00Z</dcterms:created>
  <dcterms:modified xsi:type="dcterms:W3CDTF">2020-11-25T08:33:00Z</dcterms:modified>
</cp:coreProperties>
</file>